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B9" w:rsidRDefault="00AD3A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E876B9" w:rsidRDefault="00AD3A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E876B9" w:rsidRDefault="00E876B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76B9" w:rsidRDefault="00AD3A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оформлению аттестационных материалов (портфолио) на первую квалификационную категорию </w:t>
      </w:r>
    </w:p>
    <w:p w:rsidR="00E876B9" w:rsidRDefault="00AD3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должности учитель, преподаватель)</w:t>
      </w:r>
    </w:p>
    <w:p w:rsidR="00E876B9" w:rsidRDefault="00E876B9">
      <w:pPr>
        <w:tabs>
          <w:tab w:val="center" w:pos="7285"/>
          <w:tab w:val="left" w:pos="124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876B9" w:rsidRDefault="00AD3A72">
      <w:pPr>
        <w:tabs>
          <w:tab w:val="center" w:pos="7285"/>
          <w:tab w:val="left" w:pos="1240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оформлении портфолио педагогический работник ориентируется на совокупность показателей, предусмотренных Порядком аттестации для первой квалификационной категории (п. 35):</w:t>
      </w:r>
    </w:p>
    <w:p w:rsidR="00E876B9" w:rsidRDefault="00AD3A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показатель:</w:t>
      </w:r>
      <w:r>
        <w:rPr>
          <w:rFonts w:ascii="Times New Roman" w:eastAsia="Times New Roman" w:hAnsi="Times New Roman" w:cs="Times New Roman"/>
          <w:sz w:val="24"/>
          <w:szCs w:val="24"/>
        </w:rPr>
        <w:t>стабильные</w:t>
      </w:r>
      <w:proofErr w:type="spellEnd"/>
      <w:r w:rsidR="00B20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="00B20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B20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B20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обучающимисяобразовательныхпрограмм,втомчислевобластиискусств,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физическойкультуры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спорта, поитогам мониторингови иныхформконтроля, проводимыхорганизацией;</w:t>
      </w:r>
    </w:p>
    <w:p w:rsidR="00E876B9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показатель: </w:t>
      </w:r>
      <w:r>
        <w:rPr>
          <w:rFonts w:ascii="Times New Roman" w:hAnsi="Times New Roman" w:cs="Times New Roman"/>
          <w:sz w:val="24"/>
          <w:szCs w:val="24"/>
        </w:rPr>
        <w:t>стабильные положительные результаты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от 5 августа 2013 года № 662;</w:t>
      </w:r>
    </w:p>
    <w:p w:rsidR="00E876B9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показатель: </w:t>
      </w:r>
      <w:r>
        <w:rPr>
          <w:rFonts w:ascii="Times New Roman" w:hAnsi="Times New Roman" w:cs="Times New Roman"/>
          <w:sz w:val="24"/>
          <w:szCs w:val="24"/>
        </w:rPr>
        <w:t xml:space="preserve">выявление развития у обучающихся способностей к научной (интеллектуальной), творческой, физкультурно-спортивной деятельности; </w:t>
      </w:r>
    </w:p>
    <w:p w:rsidR="00E876B9" w:rsidRDefault="00AD3A72">
      <w:pPr>
        <w:tabs>
          <w:tab w:val="left" w:pos="4541"/>
          <w:tab w:val="center" w:pos="724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показатель: </w:t>
      </w:r>
      <w:r>
        <w:rPr>
          <w:rFonts w:ascii="Times New Roman" w:hAnsi="Times New Roman" w:cs="Times New Roman"/>
          <w:sz w:val="24"/>
          <w:szCs w:val="24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участия в работе методических объединений педагогических работников организации. </w:t>
      </w:r>
    </w:p>
    <w:p w:rsidR="00E876B9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учитывается специфика конкретной педагогической должности и установленные для соответствующего направления деятельности показатели результативности.</w:t>
      </w:r>
    </w:p>
    <w:p w:rsidR="00E876B9" w:rsidRDefault="00E876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6B9" w:rsidRPr="00AD3A72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портфолио может быть оформлено по желанию педагогического работника в произвольной форме, но следует иметь ввиду, что информация, структурированная в форме таблиц, значительно облегчает восприятие и </w:t>
      </w:r>
      <w:r w:rsidRPr="00AD3A72">
        <w:rPr>
          <w:rFonts w:ascii="Times New Roman" w:hAnsi="Times New Roman" w:cs="Times New Roman"/>
          <w:sz w:val="24"/>
          <w:szCs w:val="24"/>
        </w:rPr>
        <w:t>понимание. Выводы о степени соответствия результатов профессиональной деятельности работника анализируемому показателю, анализ причин возможных отклонений, принятые меры, следствия в зависимости от объема информации могут отражаться как в таблице, так и под таблицей.</w:t>
      </w: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B9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портфолио педагогический работник представляет следующие сведения:</w:t>
      </w:r>
    </w:p>
    <w:p w:rsidR="00E876B9" w:rsidRDefault="00E876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35" w:type="dxa"/>
        <w:tblLook w:val="04A0"/>
      </w:tblPr>
      <w:tblGrid>
        <w:gridCol w:w="562"/>
        <w:gridCol w:w="6850"/>
        <w:gridCol w:w="7723"/>
      </w:tblGrid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</w:t>
            </w:r>
          </w:p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(полное наименование в соответствии с Уставом образовательной организации)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E876B9" w:rsidRDefault="00AD3A7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(указать предмет, профиль деятельности)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в должности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Образовательные программы, реализуемые педагогическим работником (за анализируемый период с указанием класса/группы)*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Информация об утверждении программ, пояснительные записки*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Имеющаяся/имевшаяся квалификационная категория с указанием должности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AD3A72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AD3A72">
              <w:rPr>
                <w:rFonts w:ascii="Times New Roman" w:hAnsi="Times New Roman"/>
                <w:sz w:val="24"/>
                <w:szCs w:val="24"/>
              </w:rPr>
              <w:t xml:space="preserve"> УР об установлении </w:t>
            </w:r>
          </w:p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 xml:space="preserve">№________ от_________20___ г. </w:t>
            </w:r>
          </w:p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(скан приказа)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Образование (высшее/среднее специальное)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Скан диплома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Скан диплома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 (за 3 года, предшествующие аттестации)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Сканы удостоверений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 xml:space="preserve">Почетные грамоты, благодарности, благодарственные письма </w:t>
            </w:r>
          </w:p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(за анализируемый период)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Сканы почетных грамот, благодарностей, благодарственных писем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A7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Другое (по усмотрению педагогического работника)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6B9" w:rsidRPr="00AD3A72" w:rsidRDefault="00AD3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72">
        <w:rPr>
          <w:rFonts w:ascii="Times New Roman" w:hAnsi="Times New Roman" w:cs="Times New Roman"/>
          <w:sz w:val="24"/>
          <w:szCs w:val="24"/>
        </w:rPr>
        <w:t>*) данная информация предоставляется по запросу экспертов</w:t>
      </w:r>
    </w:p>
    <w:p w:rsidR="00E876B9" w:rsidRPr="00AD3A72" w:rsidRDefault="00E8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B9" w:rsidRDefault="00AD3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Далее результаты профессиональной деятельности отражаются по показателям, по учебным годам с выводами о степени соответствия результатов профессиональной деятельности педагогического работника анализируемому показателю,</w:t>
      </w:r>
      <w:r>
        <w:rPr>
          <w:rFonts w:ascii="Times New Roman" w:hAnsi="Times New Roman"/>
          <w:sz w:val="24"/>
          <w:szCs w:val="24"/>
        </w:rPr>
        <w:t xml:space="preserve"> сопровождающимися анализом причин возможных отклонений, принятыми мерами, следствиями. Важно, чтобы информация легко интерпретировалась, позволяла сделать однозначные выводы,</w:t>
      </w:r>
      <w:r>
        <w:rPr>
          <w:rFonts w:ascii="Times New Roman" w:hAnsi="Times New Roman" w:cs="Times New Roman"/>
          <w:sz w:val="24"/>
          <w:szCs w:val="24"/>
        </w:rPr>
        <w:t xml:space="preserve"> была подкреплена приложением заверенных скан-копий, копий дипломов, грамот, благодарственных писем, программ научно-практических конференций и др.  </w:t>
      </w:r>
    </w:p>
    <w:p w:rsidR="00E876B9" w:rsidRDefault="00AD3A72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всех категорий педагогических работников материалы 3 и 4 показателя будут идентичны. </w:t>
      </w:r>
    </w:p>
    <w:p w:rsidR="00E876B9" w:rsidRDefault="00AD3A72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показателю в портфолио необходимо отразить результаты профессиональной деятельности в соответствии с образовательной программой (разделами и критериями оценки результатов освоения образовательной программы по результатам внутреннего мониторинга).</w:t>
      </w:r>
    </w:p>
    <w:p w:rsidR="00E876B9" w:rsidRDefault="00AD3A72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2 показателю -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5 августа 2013 г. № 662 «Об осуществлении мониторинга системы образования» (с изменениями и дополнениями</w:t>
      </w:r>
      <w:bookmarkStart w:id="0" w:name="text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уровням образования при условии аккредитации образовательной организации.</w:t>
      </w:r>
    </w:p>
    <w:p w:rsidR="00E876B9" w:rsidRDefault="00E876B9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38" w:type="dxa"/>
        <w:tblLook w:val="04A0"/>
      </w:tblPr>
      <w:tblGrid>
        <w:gridCol w:w="1529"/>
        <w:gridCol w:w="1453"/>
        <w:gridCol w:w="1786"/>
        <w:gridCol w:w="1559"/>
        <w:gridCol w:w="1438"/>
        <w:gridCol w:w="1499"/>
        <w:gridCol w:w="5874"/>
      </w:tblGrid>
      <w:tr w:rsidR="00E876B9">
        <w:tc>
          <w:tcPr>
            <w:tcW w:w="15138" w:type="dxa"/>
            <w:gridSpan w:val="7"/>
            <w:vAlign w:val="center"/>
          </w:tcPr>
          <w:p w:rsidR="00E876B9" w:rsidRDefault="00AD3A72">
            <w:pPr>
              <w:widowControl w:val="0"/>
              <w:spacing w:before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стабильныеположительныерезультатыосвоенияобучающимисяобразовательныхпрограмм,втомчислевобластиискусств,  физическойкультуры и спорта, поитогам мониторингови иныхформконтроля, проводимыхорганизацией</w:t>
            </w:r>
          </w:p>
        </w:tc>
      </w:tr>
      <w:tr w:rsidR="00E876B9">
        <w:tc>
          <w:tcPr>
            <w:tcW w:w="1529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год</w:t>
            </w:r>
          </w:p>
        </w:tc>
        <w:tc>
          <w:tcPr>
            <w:tcW w:w="1453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Класс(ы)/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группа(ы)</w:t>
            </w:r>
          </w:p>
        </w:tc>
        <w:tc>
          <w:tcPr>
            <w:tcW w:w="1786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чел.</w:t>
            </w:r>
          </w:p>
        </w:tc>
        <w:tc>
          <w:tcPr>
            <w:tcW w:w="1559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Успешность, %</w:t>
            </w:r>
          </w:p>
        </w:tc>
        <w:tc>
          <w:tcPr>
            <w:tcW w:w="1438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«5», %</w:t>
            </w:r>
          </w:p>
        </w:tc>
        <w:tc>
          <w:tcPr>
            <w:tcW w:w="1499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874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соответствия результатов профессиональной деятельности работника анализируемому показателю. Анализ 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отклонений, принятые меры, следствия*</w:t>
            </w:r>
          </w:p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</w:tbl>
    <w:p w:rsidR="00E876B9" w:rsidRDefault="00AD3A72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*Отмечается стабильность результатов освоения обучающимися образовательных программ за анализируемый период профессиональной деятельности. </w:t>
      </w:r>
    </w:p>
    <w:p w:rsidR="00E876B9" w:rsidRDefault="00AD3A72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 незначительных единичных отклонениях приводятся пояснения причин отклонений.</w:t>
      </w: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8" w:type="dxa"/>
        <w:tblLook w:val="04A0"/>
      </w:tblPr>
      <w:tblGrid>
        <w:gridCol w:w="1542"/>
        <w:gridCol w:w="1255"/>
        <w:gridCol w:w="1958"/>
        <w:gridCol w:w="2305"/>
        <w:gridCol w:w="2329"/>
        <w:gridCol w:w="1947"/>
        <w:gridCol w:w="1882"/>
        <w:gridCol w:w="1920"/>
      </w:tblGrid>
      <w:tr w:rsidR="00E876B9">
        <w:tc>
          <w:tcPr>
            <w:tcW w:w="15138" w:type="dxa"/>
            <w:gridSpan w:val="8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стабильные положительные результаты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</w:t>
            </w:r>
          </w:p>
        </w:tc>
      </w:tr>
      <w:tr w:rsidR="00E876B9">
        <w:tc>
          <w:tcPr>
            <w:tcW w:w="1559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год</w:t>
            </w:r>
          </w:p>
        </w:tc>
        <w:tc>
          <w:tcPr>
            <w:tcW w:w="1256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Класс(ы)/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группа(ы)</w:t>
            </w:r>
          </w:p>
        </w:tc>
        <w:tc>
          <w:tcPr>
            <w:tcW w:w="1968" w:type="dxa"/>
          </w:tcPr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принявших участие в оценочных мероприятиях, проведенных в рамках мониторинга</w:t>
            </w:r>
          </w:p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образования, чел.</w:t>
            </w:r>
          </w:p>
        </w:tc>
        <w:tc>
          <w:tcPr>
            <w:tcW w:w="2331" w:type="dxa"/>
          </w:tcPr>
          <w:p w:rsidR="00E876B9" w:rsidRDefault="00AD3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оценки качества подготовки обучающихся, участвующих в оценочных процедурах, преодолевших минимальный порог (60% правильных ответов), полученных ими в ходе оценивания достижения результатов обучения по федеральным оценочным материалам</w:t>
            </w:r>
          </w:p>
        </w:tc>
        <w:tc>
          <w:tcPr>
            <w:tcW w:w="2346" w:type="dxa"/>
          </w:tcPr>
          <w:p w:rsidR="00E876B9" w:rsidRDefault="00AD3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планируемых</w:t>
            </w:r>
          </w:p>
          <w:p w:rsidR="00E876B9" w:rsidRDefault="00AD3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освоения образовательной программы требованиям, установленным ФГОС</w:t>
            </w:r>
          </w:p>
          <w:p w:rsidR="00E876B9" w:rsidRDefault="00E87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B9" w:rsidRDefault="00E87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876B9" w:rsidRDefault="00AD3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допуск к государственной итоговой аттестации по итогам обучения в 9 и 11 классах, %</w:t>
            </w:r>
          </w:p>
          <w:p w:rsidR="00E876B9" w:rsidRDefault="00E87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E876B9" w:rsidRDefault="00AD3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не набравших минимальное количество баллов по обязательным предметам при прохождении ГИА-9 </w:t>
            </w:r>
          </w:p>
          <w:p w:rsidR="00E876B9" w:rsidRDefault="00AD3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ГИА-11, %</w:t>
            </w:r>
          </w:p>
          <w:p w:rsidR="00E876B9" w:rsidRDefault="00AD3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1894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соответствия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работника анализируемому показателю. Анализ возможных отклонений, принятые меры, следствия*</w:t>
            </w:r>
          </w:p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</w:tbl>
    <w:p w:rsidR="00E876B9" w:rsidRDefault="00AD3A72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*По итогам мониторинга системы образования, проводимого в порядке, установленном Правительством Российской Федерации от 5 августа 2013 года № 662, отмечаются положительные результаты освоения образовательных программ на протяжении всего анализируемого периода профессиональной деятельности педагога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дисциплины, по которым предусмотрена итоговая аттестация: ЕГЭ, ОГЭ, ВПР, защита дипломных проектов, госэкзамены, демоэкзамены и др.).</w:t>
      </w:r>
    </w:p>
    <w:p w:rsidR="00E876B9" w:rsidRDefault="00E876B9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76B9" w:rsidRDefault="00AD3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результатов по критерию «Итоги мониторингов, проводимых системой образования» необходимо обязательно учитывать, что количество участников экзамена по предмету должно быть не менее 30% от общего числа выпускников данного класса. Процент выпускников, получивших качественные результаты при сдаче ОГЭ или ЕГЭ, определяется от числа участников экзамена, а не от общего количества обучающихся в классе.</w:t>
      </w:r>
    </w:p>
    <w:p w:rsidR="00E876B9" w:rsidRDefault="00E876B9">
      <w:pPr>
        <w:ind w:left="-1139"/>
        <w:jc w:val="left"/>
      </w:pPr>
    </w:p>
    <w:p w:rsidR="00E876B9" w:rsidRDefault="00E876B9">
      <w:pPr>
        <w:ind w:left="-1139"/>
        <w:jc w:val="left"/>
      </w:pPr>
    </w:p>
    <w:p w:rsidR="00E876B9" w:rsidRDefault="00AD3A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должности, замещаемой педагогическим работником, и показателей результативности его могут быть приведены  данные о результатах других мониторингов, проводимых в соответствии с постановлением Правительства Российской Федерации от 5 августа 2013 года № 662 (</w:t>
      </w:r>
      <w:r>
        <w:rPr>
          <w:rFonts w:ascii="Times New Roman" w:eastAsia="Times New Roman" w:hAnsi="Times New Roman" w:cs="Times New Roman"/>
          <w:sz w:val="24"/>
          <w:szCs w:val="24"/>
        </w:rPr>
        <w:t>учебные и внеучебные достижения обучающихся лиц и профессиональные достижения выпускников организаций, реализующих программы СПО, лиц, обучающихся по программам дополнительного образования детей, результаты аттестации лиц, обучающихся по образовательным программам НОО, ООО и СОО, состояние здоровья лиц, обучающихся по ООП, здоровьесберегающие условия, условия освоения дополнительных профессиональных программ лицами с ОВЗ и инвалидами и др.).</w:t>
      </w: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47" w:type="dxa"/>
        <w:tblLook w:val="04A0"/>
      </w:tblPr>
      <w:tblGrid>
        <w:gridCol w:w="1482"/>
        <w:gridCol w:w="2815"/>
        <w:gridCol w:w="2150"/>
        <w:gridCol w:w="2150"/>
        <w:gridCol w:w="2150"/>
        <w:gridCol w:w="2150"/>
        <w:gridCol w:w="2150"/>
      </w:tblGrid>
      <w:tr w:rsidR="00E876B9">
        <w:tc>
          <w:tcPr>
            <w:tcW w:w="15047" w:type="dxa"/>
            <w:gridSpan w:val="7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развития у обучающихся способностей к научной (интеллектуальной), творческой, </w:t>
            </w:r>
          </w:p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деятельности </w:t>
            </w:r>
          </w:p>
        </w:tc>
      </w:tr>
      <w:tr w:rsidR="00E876B9">
        <w:tc>
          <w:tcPr>
            <w:tcW w:w="1484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6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методов, способов выявления развития 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способностейк научной (интеллектуальной), творческой, физкультурно-спортивной деятельности за анализируемый период</w:t>
            </w:r>
          </w:p>
        </w:tc>
        <w:tc>
          <w:tcPr>
            <w:tcW w:w="2150" w:type="dxa"/>
          </w:tcPr>
          <w:p w:rsidR="00E876B9" w:rsidRDefault="00AD3A72">
            <w:pPr>
              <w:tabs>
                <w:tab w:val="left" w:pos="428"/>
                <w:tab w:val="center" w:pos="1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обучающимися</w:t>
            </w:r>
          </w:p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деятельности (количество</w:t>
            </w:r>
          </w:p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чел.)</w:t>
            </w:r>
          </w:p>
          <w:p w:rsidR="00E876B9" w:rsidRDefault="00E876B9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олимпиадах, конкурсах, фестивалях, соревнованиях, а также подготовка победителей и призеров на уровне образовательной организации</w:t>
            </w:r>
          </w:p>
        </w:tc>
        <w:tc>
          <w:tcPr>
            <w:tcW w:w="2150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олимпиадах, конкурсах, фестивалях, соревнованиях, а также подготовка победителей и призеров на муниципальном уровне </w:t>
            </w:r>
          </w:p>
        </w:tc>
        <w:tc>
          <w:tcPr>
            <w:tcW w:w="2150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олимпиадах, конкурсах, фестивалях, соревнованиях, а также подготовка победителей и призеров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республиканском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214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соответствия результатов профессиональной деятельности работника анализируемому показателю. Анализ возможных отклонений, принятые меры, следствия.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</w:t>
            </w:r>
          </w:p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</w:tbl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8" w:type="dxa"/>
        <w:tblLook w:val="04A0"/>
      </w:tblPr>
      <w:tblGrid>
        <w:gridCol w:w="1635"/>
        <w:gridCol w:w="3194"/>
        <w:gridCol w:w="3785"/>
        <w:gridCol w:w="3497"/>
        <w:gridCol w:w="3027"/>
      </w:tblGrid>
      <w:tr w:rsidR="00E876B9">
        <w:tc>
          <w:tcPr>
            <w:tcW w:w="15138" w:type="dxa"/>
            <w:gridSpan w:val="5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участия в работе методических  объединений педагогических работников организации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876B9">
        <w:tc>
          <w:tcPr>
            <w:tcW w:w="15138" w:type="dxa"/>
            <w:gridSpan w:val="5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Совершенствование методов обучения и воспитания 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вызвавшие необходимость поиска и применения иных методов обучения и воспитания в образовательном  процессе  за анализируемый период.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методы обучения и воспитания, которые педагог начал применять в анализируемом периоде</w:t>
            </w:r>
          </w:p>
        </w:tc>
        <w:tc>
          <w:tcPr>
            <w:tcW w:w="3785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опыта освоения и применения образовательных технологий (ИКТ, электронных образовательных ресурсов (ЭОР), проектной деятельности, развития критического мышления и др.) в процессе обучения за анализируемый период</w:t>
            </w:r>
          </w:p>
        </w:tc>
        <w:tc>
          <w:tcPr>
            <w:tcW w:w="3497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изменений в качестве образования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методов обучения и воспитания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(повысилось качество, участие в олимпиадах, конкурсах и др.)</w:t>
            </w:r>
          </w:p>
        </w:tc>
        <w:tc>
          <w:tcPr>
            <w:tcW w:w="302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степени соответствия результатов профессиональной 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5138" w:type="dxa"/>
            <w:gridSpan w:val="5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4.2.Транслирование в педагогических коллективах опыта практических результатов профессиональной деятельности</w:t>
            </w:r>
          </w:p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педагогическим коллективом, прежде всего, следует понимать педагогический коллектив конкретной образовательной организации;</w:t>
            </w:r>
          </w:p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транслирование результатов общепедагогического, общеметодического («метапредметного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») характера, которые могут представлять интерес для педагогических работников, независимо от преподаваемых дисциплин и направлений деятельности)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практических результатов через проведение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уроков, мастер-классов, мероприятий 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уровень, название мероприятия,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урока, мастер-класса 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3785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Доклады на научно-практических конференциях, педагогических чтениях, семинарах, форумах 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(дата, уровень, название мероприятия,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выступления)</w:t>
            </w:r>
          </w:p>
          <w:p w:rsidR="00E876B9" w:rsidRDefault="00E8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Публикации в профессиональных (методических) изданиях,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сборниках тезисов конференций и др.</w:t>
            </w:r>
          </w:p>
        </w:tc>
        <w:tc>
          <w:tcPr>
            <w:tcW w:w="302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о степени соответствия результатов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5138" w:type="dxa"/>
            <w:gridSpan w:val="5"/>
          </w:tcPr>
          <w:p w:rsidR="00E876B9" w:rsidRDefault="00AD3A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Должны прослеживаться система и практические результаты работы по выбранной методической теме (проблеме) с кратким обоснованием актуальности темы (проблемы)</w:t>
            </w:r>
          </w:p>
        </w:tc>
      </w:tr>
      <w:tr w:rsidR="00E876B9">
        <w:tc>
          <w:tcPr>
            <w:tcW w:w="15138" w:type="dxa"/>
            <w:gridSpan w:val="5"/>
            <w:vAlign w:val="center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 Активное участие в работе методических объединений педагогических работников организации</w:t>
            </w:r>
          </w:p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(более узкое направление деятельности, интересное для педагогических работников, работающих в той же области)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</w:tcPr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выступления, сообщения, проведение открытых уроков, мастер-классов на уровне образовательной организации, руководство школьным методическим объединением</w:t>
            </w:r>
          </w:p>
        </w:tc>
        <w:tc>
          <w:tcPr>
            <w:tcW w:w="3785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 группах; 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апробациях;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ИОМ и др. на уровне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49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мастер-классы, доклады, выступления на НПК и др. на муниципальном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районным (городским) методическим объединением</w:t>
            </w:r>
          </w:p>
        </w:tc>
        <w:tc>
          <w:tcPr>
            <w:tcW w:w="302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степени соответствия результатов профессиональной 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</w:tbl>
    <w:p w:rsidR="00E876B9" w:rsidRDefault="00E876B9"/>
    <w:p w:rsidR="00E876B9" w:rsidRDefault="00E876B9"/>
    <w:p w:rsidR="00E876B9" w:rsidRDefault="00E876B9"/>
    <w:p w:rsidR="00E876B9" w:rsidRDefault="00AD3A72">
      <w:pPr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Выдержки из перечня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обязательной информации о системе образования, подлежащей мониторингу</w:t>
      </w:r>
    </w:p>
    <w:p w:rsidR="00E876B9" w:rsidRDefault="00AD3A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(из постановления Правительства Российской Федерации от 5 августа 2013 г. № 662 «Об осуществлении мониторинга системы образования» (с изменениями и дополнениями)</w:t>
      </w:r>
    </w:p>
    <w:p w:rsidR="00E876B9" w:rsidRDefault="00E876B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76B9" w:rsidRDefault="00AD3A72">
      <w:pPr>
        <w:pStyle w:val="a3"/>
        <w:spacing w:before="0" w:beforeAutospacing="0" w:after="0" w:afterAutospacing="0"/>
      </w:pPr>
      <w:r>
        <w:rPr>
          <w:b/>
          <w:bCs/>
        </w:rPr>
        <w:t>I. Общее образование</w:t>
      </w:r>
      <w:r>
        <w:br/>
      </w:r>
      <w:r>
        <w:rPr>
          <w:b/>
          <w:u w:val="single"/>
        </w:rPr>
        <w:t>1. Сведения о развитии дошкольного образования:</w:t>
      </w:r>
      <w:r>
        <w:br/>
        <w:t>б) содержание образовательной деятельности и организация образовательного процесса по образовательным</w:t>
      </w:r>
      <w:r>
        <w:tab/>
        <w:t>программам дошкольного образования;</w:t>
      </w:r>
      <w:r>
        <w:br/>
        <w:t>г) материально-техническое и информационное обеспечение дошкольных образовательных организаций;</w:t>
      </w:r>
      <w:r>
        <w:br/>
        <w:t>д) условия получения дошкольного образования лицами с ограниченными возможностями здоровья и инвалидами;</w:t>
      </w:r>
      <w:r>
        <w:br/>
        <w:t>е) состояние здоровья лиц, обучающихся по программам дошкольного образования;</w:t>
      </w:r>
      <w:r>
        <w:br/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E876B9" w:rsidRDefault="00E876B9">
      <w:pPr>
        <w:spacing w:line="240" w:lineRule="auto"/>
        <w:ind w:firstLine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76B9" w:rsidRDefault="00AD3A72">
      <w:pPr>
        <w:spacing w:line="240" w:lineRule="auto"/>
        <w:ind w:firstLine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Образовательные программы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E876B9" w:rsidRDefault="00AD3A72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 Сведения о развитии начального общего образования, основного общего образования и среднего общего образования:</w:t>
      </w:r>
      <w:r>
        <w:rPr>
          <w:rFonts w:ascii="Times New Roman" w:hAnsi="Times New Roman" w:cs="Times New Roman"/>
          <w:sz w:val="24"/>
          <w:szCs w:val="24"/>
        </w:rPr>
        <w:br/>
        <w:t>г) материально-техническое и информационное обеспечение общеобразовательных организаций, осуществляющих образовательную деятельность в части реализации основных общеобразовательных программ;</w:t>
      </w:r>
      <w:r>
        <w:rPr>
          <w:rFonts w:ascii="Times New Roman" w:hAnsi="Times New Roman" w:cs="Times New Roman"/>
          <w:sz w:val="24"/>
          <w:szCs w:val="24"/>
        </w:rPr>
        <w:br/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E876B9" w:rsidRDefault="00AD3A72">
      <w:pPr>
        <w:spacing w:line="240" w:lineRule="auto"/>
        <w:ind w:firstLine="1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  <w:r>
        <w:rPr>
          <w:rFonts w:ascii="Times New Roman" w:hAnsi="Times New Roman" w:cs="Times New Roman"/>
          <w:sz w:val="24"/>
          <w:szCs w:val="24"/>
        </w:rPr>
        <w:br/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  <w:r>
        <w:rPr>
          <w:rFonts w:ascii="Times New Roman" w:hAnsi="Times New Roman" w:cs="Times New Roman"/>
          <w:sz w:val="24"/>
          <w:szCs w:val="24"/>
        </w:rPr>
        <w:br/>
        <w:t>к) создание безопасных условий при организации образовательного процесса в общеобразовательных организациях. Оценка качества подготовки обучающихся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br/>
        <w:t>3. Сведения о развитии среднего профессионального образования:</w:t>
      </w:r>
      <w:r>
        <w:rPr>
          <w:rFonts w:ascii="Times New Roman" w:hAnsi="Times New Roman" w:cs="Times New Roman"/>
          <w:sz w:val="24"/>
          <w:szCs w:val="24"/>
        </w:rPr>
        <w:br/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д) условия получения среднего профессионального образования лицами с ограниченными возможностями здоровья и инвалидами;</w:t>
      </w:r>
      <w:r>
        <w:rPr>
          <w:rFonts w:ascii="Times New Roman" w:hAnsi="Times New Roman" w:cs="Times New Roman"/>
          <w:sz w:val="24"/>
          <w:szCs w:val="24"/>
        </w:rPr>
        <w:br/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 xml:space="preserve"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 </w:t>
      </w:r>
    </w:p>
    <w:p w:rsidR="00E876B9" w:rsidRDefault="00AD3A72">
      <w:pPr>
        <w:pStyle w:val="a3"/>
        <w:spacing w:before="0" w:beforeAutospacing="0" w:after="0" w:afterAutospacing="0"/>
      </w:pPr>
      <w:r>
        <w:t>Результаты оценки качества подготовки обучающихся</w:t>
      </w:r>
    </w:p>
    <w:p w:rsidR="00E876B9" w:rsidRDefault="00E876B9">
      <w:pPr>
        <w:pStyle w:val="s3"/>
        <w:spacing w:before="0" w:beforeAutospacing="0" w:after="0" w:afterAutospacing="0"/>
        <w:rPr>
          <w:b/>
          <w:u w:val="single"/>
        </w:rPr>
      </w:pPr>
    </w:p>
    <w:p w:rsidR="00E876B9" w:rsidRDefault="00AD3A72">
      <w:pPr>
        <w:pStyle w:val="s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III. Дополнительное образование</w:t>
      </w:r>
    </w:p>
    <w:p w:rsidR="00E876B9" w:rsidRDefault="00AD3A72">
      <w:pPr>
        <w:pStyle w:val="s1"/>
        <w:spacing w:before="0" w:beforeAutospacing="0" w:after="0" w:afterAutospacing="0"/>
      </w:pPr>
      <w:r>
        <w:t>5. Сведения о развитии дополнительного образования детей и взрослых:</w:t>
      </w:r>
    </w:p>
    <w:p w:rsidR="00E876B9" w:rsidRDefault="00AD3A72">
      <w:pPr>
        <w:pStyle w:val="s1"/>
        <w:spacing w:before="0" w:beforeAutospacing="0" w:after="0" w:afterAutospacing="0"/>
      </w:pPr>
      <w:r>
        <w:t>а) численность населения, обучающегося по дополнительным общеобразовательным программам;</w:t>
      </w:r>
    </w:p>
    <w:p w:rsidR="00E876B9" w:rsidRDefault="00AD3A72">
      <w:pPr>
        <w:pStyle w:val="s1"/>
        <w:spacing w:before="0" w:beforeAutospacing="0" w:after="0" w:afterAutospacing="0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E876B9" w:rsidRDefault="00AD3A72">
      <w:pPr>
        <w:pStyle w:val="s1"/>
        <w:spacing w:before="0" w:beforeAutospacing="0" w:after="0" w:afterAutospacing="0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E876B9" w:rsidRDefault="00AD3A72">
      <w:pPr>
        <w:pStyle w:val="s1"/>
        <w:spacing w:before="0" w:beforeAutospacing="0" w:after="0" w:afterAutospacing="0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E876B9" w:rsidRDefault="00AD3A72">
      <w:pPr>
        <w:pStyle w:val="s1"/>
        <w:spacing w:before="0" w:beforeAutospacing="0" w:after="0" w:afterAutospacing="0"/>
      </w:pPr>
      <w:r>
        <w:t>и) учебные и внеучебные достижения лиц, обучающихся по программам дополнительного образования детей.</w:t>
      </w:r>
    </w:p>
    <w:p w:rsidR="00E876B9" w:rsidRDefault="00AD3A72">
      <w:pPr>
        <w:pStyle w:val="s1"/>
        <w:spacing w:before="0" w:beforeAutospacing="0" w:after="0" w:afterAutospacing="0"/>
      </w:pPr>
      <w:r>
        <w:tab/>
      </w:r>
      <w:r>
        <w:tab/>
      </w:r>
    </w:p>
    <w:p w:rsidR="00E876B9" w:rsidRDefault="00AD3A72">
      <w:pPr>
        <w:pStyle w:val="s1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76B9" w:rsidRDefault="00E876B9">
      <w:pPr>
        <w:pStyle w:val="s1"/>
        <w:spacing w:before="0" w:beforeAutospacing="0" w:after="0" w:afterAutospacing="0"/>
      </w:pPr>
    </w:p>
    <w:sectPr w:rsidR="00E876B9" w:rsidSect="004C016E">
      <w:pgSz w:w="16838" w:h="11906" w:orient="landscape"/>
      <w:pgMar w:top="1134" w:right="850" w:bottom="850" w:left="85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83"/>
  <w:drawingGridVerticalSpacing w:val="283"/>
  <w:characterSpacingControl w:val="doNotCompress"/>
  <w:compat/>
  <w:rsids>
    <w:rsidRoot w:val="00E876B9"/>
    <w:rsid w:val="004C016E"/>
    <w:rsid w:val="00AD3A72"/>
    <w:rsid w:val="00B20F3D"/>
    <w:rsid w:val="00E8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C01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4C01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4C01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4C01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C016E"/>
    <w:rPr>
      <w:color w:val="0000FF"/>
      <w:u w:val="single"/>
    </w:rPr>
  </w:style>
  <w:style w:type="table" w:styleId="a5">
    <w:name w:val="Table Grid"/>
    <w:basedOn w:val="a1"/>
    <w:rsid w:val="004C016E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4C016E"/>
    <w:pPr>
      <w:spacing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2493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2023-12-01T05:00:00Z</dcterms:created>
  <dcterms:modified xsi:type="dcterms:W3CDTF">2024-01-11T12:47:00Z</dcterms:modified>
</cp:coreProperties>
</file>